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pPr>
              <w:rPr>
                <w:rFonts w:ascii="Arial" w:hAnsi="Arial"/>
              </w:rPr>
            </w:pPr>
            <w:r>
              <w:rPr>
                <w:rFonts w:ascii="Arial" w:hAnsi="Arial"/>
                <w:lang w:val="en-GB"/>
              </w:rPr>
              <w:t>ADDICTIONS: CHILDREN, YOUTH AND FAMILIES</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CYW134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WORKER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1C2513" w:rsidP="0048355B">
            <w:pPr>
              <w:rPr>
                <w:rFonts w:ascii="Arial" w:hAnsi="Arial"/>
                <w:lang w:val="en-GB"/>
              </w:rPr>
            </w:pPr>
            <w:r>
              <w:rPr>
                <w:rFonts w:ascii="Arial" w:hAnsi="Arial"/>
                <w:lang w:val="en-GB"/>
              </w:rPr>
              <w:t>BETTY PARR/ LISA PIOTROWSKI</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1C2513" w:rsidP="0048355B">
            <w:pPr>
              <w:rPr>
                <w:rFonts w:ascii="Arial" w:hAnsi="Arial"/>
                <w:lang w:val="en-GB"/>
              </w:rPr>
            </w:pPr>
            <w:r>
              <w:rPr>
                <w:rFonts w:ascii="Arial" w:hAnsi="Arial"/>
                <w:lang w:val="en-GB"/>
              </w:rPr>
              <w:t>JAN</w:t>
            </w:r>
            <w:r w:rsidR="007F1444">
              <w:rPr>
                <w:rFonts w:ascii="Arial" w:hAnsi="Arial"/>
                <w:lang w:val="en-GB"/>
              </w:rPr>
              <w:t>.</w:t>
            </w:r>
            <w:r>
              <w:rPr>
                <w:rFonts w:ascii="Arial" w:hAnsi="Arial"/>
                <w:lang w:val="en-GB"/>
              </w:rPr>
              <w:t xml:space="preserve"> 201</w:t>
            </w:r>
            <w:r w:rsidR="00796480">
              <w:rPr>
                <w:rFonts w:ascii="Arial" w:hAnsi="Arial"/>
                <w:lang w:val="en-GB"/>
              </w:rPr>
              <w:t>3</w:t>
            </w:r>
            <w:r w:rsidR="0048355B" w:rsidRPr="0048355B">
              <w:rPr>
                <w:rFonts w:ascii="Arial" w:hAnsi="Arial"/>
                <w:lang w:val="en-GB"/>
              </w:rPr>
              <w:t xml:space="preserve"> </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7F1444">
            <w:pPr>
              <w:rPr>
                <w:rFonts w:ascii="Arial" w:hAnsi="Arial"/>
              </w:rPr>
            </w:pPr>
            <w:r>
              <w:rPr>
                <w:rFonts w:ascii="Arial" w:hAnsi="Arial"/>
              </w:rPr>
              <w:t>JAN. 201</w:t>
            </w:r>
            <w:r w:rsidR="00796480">
              <w:rPr>
                <w:rFonts w:ascii="Arial" w:hAnsi="Arial"/>
              </w:rPr>
              <w:t>2</w:t>
            </w: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3178C">
            <w:pPr>
              <w:jc w:val="center"/>
              <w:rPr>
                <w:rFonts w:ascii="Arial" w:hAnsi="Arial"/>
              </w:rPr>
            </w:pPr>
            <w:r>
              <w:rPr>
                <w:rFonts w:ascii="Arial" w:hAnsi="Arial"/>
              </w:rPr>
              <w:t>“Angelique Lemay”</w:t>
            </w:r>
          </w:p>
        </w:tc>
        <w:tc>
          <w:tcPr>
            <w:tcW w:w="1371" w:type="dxa"/>
          </w:tcPr>
          <w:p w:rsidR="00D1300B" w:rsidRDefault="0093178C">
            <w:pPr>
              <w:rPr>
                <w:rFonts w:ascii="Arial" w:hAnsi="Arial"/>
              </w:rPr>
            </w:pPr>
            <w:r>
              <w:t>Jan/13</w:t>
            </w:r>
            <w:bookmarkStart w:id="0" w:name="_GoBack"/>
            <w:bookmarkEnd w:id="0"/>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HSC204</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EC5476">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A55EF9" w:rsidRDefault="00D1300B" w:rsidP="00EC5476">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EC5476">
              <w:rPr>
                <w:rFonts w:ascii="Arial" w:hAnsi="Arial"/>
                <w:i/>
                <w:sz w:val="22"/>
                <w:szCs w:val="22"/>
                <w:lang w:val="en-GB"/>
              </w:rPr>
              <w:t xml:space="preserve"> and Interdisciplinary Studies</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proofErr w:type="gramStart"/>
            <w:r>
              <w:rPr>
                <w:rFonts w:ascii="Arial" w:hAnsi="Arial"/>
              </w:rPr>
              <w:t>treatment</w:t>
            </w:r>
            <w:proofErr w:type="gramEnd"/>
            <w:r>
              <w:rPr>
                <w:rFonts w:ascii="Arial" w:hAnsi="Arial"/>
              </w:rPr>
              <w:t xml:space="preserve">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proofErr w:type="gramStart"/>
            <w:r>
              <w:rPr>
                <w:rFonts w:ascii="Arial" w:hAnsi="Arial"/>
              </w:rPr>
              <w:t>prevention</w:t>
            </w:r>
            <w:proofErr w:type="gramEnd"/>
            <w:r>
              <w:rPr>
                <w:rFonts w:ascii="Arial" w:hAnsi="Arial"/>
              </w:rPr>
              <w:t xml:space="preserve">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proofErr w:type="gramStart"/>
            <w:r>
              <w:rPr>
                <w:rFonts w:ascii="Arial" w:hAnsi="Arial"/>
                <w:u w:val="single"/>
              </w:rPr>
              <w:t>abuse</w:t>
            </w:r>
            <w:proofErr w:type="gramEnd"/>
            <w:r>
              <w:rPr>
                <w:rFonts w:ascii="Arial" w:hAnsi="Arial"/>
                <w:u w:val="single"/>
              </w:rPr>
              <w:t xml:space="preserv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1C2513" w:rsidP="007D249C">
            <w:pPr>
              <w:pStyle w:val="ListParagraph"/>
              <w:numPr>
                <w:ilvl w:val="0"/>
                <w:numId w:val="14"/>
              </w:numPr>
              <w:rPr>
                <w:rFonts w:ascii="Arial" w:hAnsi="Arial"/>
              </w:rPr>
            </w:pPr>
            <w:r>
              <w:rPr>
                <w:rFonts w:ascii="Arial" w:hAnsi="Arial"/>
              </w:rPr>
              <w:t>Differentiate between process addiction and substance dependence</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proofErr w:type="gramStart"/>
            <w:r>
              <w:rPr>
                <w:rFonts w:ascii="Arial" w:hAnsi="Arial"/>
                <w:u w:val="single"/>
              </w:rPr>
              <w:t>impacted</w:t>
            </w:r>
            <w:proofErr w:type="gramEnd"/>
            <w:r>
              <w:rPr>
                <w:rFonts w:ascii="Arial" w:hAnsi="Arial"/>
                <w:u w:val="single"/>
              </w:rPr>
              <w:t xml:space="preserve">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r w:rsidR="00282171">
              <w:rPr>
                <w:rFonts w:ascii="Arial" w:hAnsi="Arial"/>
              </w:rPr>
              <w:t xml:space="preserve"> approaches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D1300B"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A12742" w:rsidRDefault="00A12742">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282171" w:rsidRPr="007F1444" w:rsidRDefault="00282171">
            <w:pPr>
              <w:rPr>
                <w:rFonts w:ascii="Arial" w:hAnsi="Arial"/>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8873E0" w:rsidRDefault="00282171">
            <w:pPr>
              <w:pStyle w:val="EnvelopeReturn"/>
            </w:pPr>
            <w:r>
              <w:t>Research Paper</w:t>
            </w:r>
            <w:r w:rsidR="008873E0">
              <w:t xml:space="preserve">            </w:t>
            </w:r>
            <w:r w:rsidR="009629BA">
              <w:t>25</w:t>
            </w:r>
            <w:r w:rsidR="008873E0">
              <w:t xml:space="preserve">% </w:t>
            </w:r>
          </w:p>
          <w:p w:rsidR="008873E0" w:rsidRDefault="00282171" w:rsidP="008873E0">
            <w:pPr>
              <w:pStyle w:val="EnvelopeReturn"/>
            </w:pPr>
            <w:r>
              <w:t>Resource Index</w:t>
            </w:r>
            <w:r w:rsidR="008873E0">
              <w:t xml:space="preserve">            15% </w:t>
            </w:r>
          </w:p>
          <w:p w:rsidR="008873E0" w:rsidRDefault="008873E0" w:rsidP="008873E0">
            <w:pPr>
              <w:pStyle w:val="EnvelopeReturn"/>
            </w:pPr>
            <w:r>
              <w:t xml:space="preserve">Test #1                          </w:t>
            </w:r>
            <w:r w:rsidR="00282171">
              <w:t>3</w:t>
            </w:r>
            <w:r>
              <w:t xml:space="preserve">0% </w:t>
            </w:r>
          </w:p>
          <w:p w:rsidR="008873E0" w:rsidRDefault="008873E0" w:rsidP="008873E0">
            <w:pPr>
              <w:pStyle w:val="EnvelopeReturn"/>
            </w:pPr>
            <w:r>
              <w:t xml:space="preserve">Test #2                          </w:t>
            </w:r>
            <w:r w:rsidR="00282171">
              <w:t>3</w:t>
            </w:r>
            <w:r w:rsidR="009629BA">
              <w:t>0</w:t>
            </w:r>
            <w:r>
              <w:t xml:space="preserve">% </w:t>
            </w:r>
          </w:p>
          <w:p w:rsidR="008873E0" w:rsidRDefault="008873E0" w:rsidP="008873E0">
            <w:pPr>
              <w:pStyle w:val="EnvelopeReturn"/>
            </w:pPr>
          </w:p>
          <w:p w:rsidR="008873E0" w:rsidRDefault="008873E0" w:rsidP="008873E0">
            <w:pPr>
              <w:pStyle w:val="EnvelopeReturn"/>
            </w:pPr>
            <w:r>
              <w:t xml:space="preserve">Total                             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bl>
    <w:p w:rsidR="00EC5476" w:rsidRDefault="00EC5476">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EA2E83" w:rsidRDefault="00EC5476" w:rsidP="00EA2E83">
            <w:pPr>
              <w:rPr>
                <w:rFonts w:ascii="Arial" w:hAnsi="Arial" w:cs="Arial"/>
              </w:rPr>
            </w:pPr>
            <w:r w:rsidRPr="00EA2E83">
              <w:rPr>
                <w:rFonts w:ascii="Arial" w:hAnsi="Arial" w:cs="Arial"/>
              </w:rPr>
              <w:t xml:space="preserve">Students are required to keep a copy of all assignments submitted to the instructor. All assignments are due on the date assigned. Late assignments </w:t>
            </w:r>
            <w:r>
              <w:rPr>
                <w:rFonts w:ascii="Arial" w:hAnsi="Arial" w:cs="Arial"/>
              </w:rPr>
              <w:t>will be deducted 1%/day late.  After 5 calendar days late, assignments will not be graded.</w:t>
            </w:r>
            <w:r w:rsidRPr="00EA2E83">
              <w:rPr>
                <w:rFonts w:ascii="Arial" w:hAnsi="Arial" w:cs="Arial"/>
              </w:rPr>
              <w:t xml:space="preserve">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Default="00EC5476" w:rsidP="00EA2E83">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before they are returned to the class. For voicemail: ext 2</w:t>
            </w:r>
            <w:r>
              <w:rPr>
                <w:rFonts w:ascii="Arial" w:hAnsi="Arial" w:cs="Arial"/>
              </w:rPr>
              <w:t>434</w:t>
            </w:r>
            <w:r w:rsidRPr="00EA2E83">
              <w:rPr>
                <w:rFonts w:ascii="Arial" w:hAnsi="Arial" w:cs="Arial"/>
              </w:rPr>
              <w:t>4.</w:t>
            </w:r>
          </w:p>
          <w:p w:rsidR="00EC5476" w:rsidRPr="00EA2E83" w:rsidRDefault="00EC5476" w:rsidP="00EA2E83">
            <w:pPr>
              <w:rPr>
                <w:rFonts w:ascii="Arial" w:hAnsi="Arial" w:cs="Arial"/>
              </w:rPr>
            </w:pPr>
            <w:r w:rsidRPr="00EA2E83">
              <w:rPr>
                <w:rFonts w:ascii="Arial" w:hAnsi="Arial" w:cs="Arial"/>
              </w:rPr>
              <w:t xml:space="preserve">  E-mail: </w:t>
            </w:r>
            <w:r>
              <w:rPr>
                <w:rFonts w:ascii="Arial" w:hAnsi="Arial" w:cs="Arial"/>
              </w:rPr>
              <w:t>lisa.piotrowski</w:t>
            </w:r>
            <w:r w:rsidRPr="00EA2E83">
              <w:rPr>
                <w:rFonts w:ascii="Arial" w:hAnsi="Arial" w:cs="Arial"/>
              </w:rPr>
              <w:t xml:space="preserve">@saultcollege.ca </w:t>
            </w:r>
          </w:p>
          <w:p w:rsidR="00EC5476" w:rsidRPr="00EA2E83" w:rsidRDefault="00EC5476" w:rsidP="00EC5476">
            <w:pPr>
              <w:rPr>
                <w:rFonts w:ascii="Arial" w:hAnsi="Arial" w:cs="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76" w:rsidRDefault="00EC5476">
      <w:r>
        <w:separator/>
      </w:r>
    </w:p>
  </w:endnote>
  <w:endnote w:type="continuationSeparator" w:id="0">
    <w:p w:rsidR="00EC5476" w:rsidRDefault="00EC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76" w:rsidRDefault="00EC5476">
      <w:r>
        <w:separator/>
      </w:r>
    </w:p>
  </w:footnote>
  <w:footnote w:type="continuationSeparator" w:id="0">
    <w:p w:rsidR="00EC5476" w:rsidRDefault="00EC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EC5476">
      <w:rPr>
        <w:rStyle w:val="PageNumber"/>
        <w:noProof/>
      </w:rPr>
      <w:t>1</w:t>
    </w:r>
    <w:r>
      <w:rPr>
        <w:rStyle w:val="PageNumber"/>
      </w:rPr>
      <w:fldChar w:fldCharType="end"/>
    </w:r>
  </w:p>
  <w:p w:rsidR="00EC5476" w:rsidRDefault="00EC5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93178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C5476">
      <w:tc>
        <w:tcPr>
          <w:tcW w:w="3794" w:type="dxa"/>
        </w:tcPr>
        <w:p w:rsidR="00EC5476" w:rsidRDefault="00EC5476">
          <w:pPr>
            <w:rPr>
              <w:rFonts w:ascii="Arial" w:hAnsi="Arial"/>
              <w:snapToGrid w:val="0"/>
            </w:rPr>
          </w:pPr>
          <w:r>
            <w:rPr>
              <w:rFonts w:ascii="Arial" w:hAnsi="Arial"/>
              <w:snapToGrid w:val="0"/>
            </w:rPr>
            <w:t>Addictions II</w:t>
          </w:r>
        </w:p>
      </w:tc>
      <w:tc>
        <w:tcPr>
          <w:tcW w:w="1134" w:type="dxa"/>
        </w:tcPr>
        <w:p w:rsidR="00EC5476" w:rsidRDefault="00EC5476">
          <w:pPr>
            <w:pStyle w:val="Header"/>
            <w:jc w:val="center"/>
            <w:rPr>
              <w:rFonts w:ascii="Arial" w:hAnsi="Arial"/>
              <w:snapToGrid w:val="0"/>
            </w:rPr>
          </w:pPr>
        </w:p>
      </w:tc>
      <w:tc>
        <w:tcPr>
          <w:tcW w:w="3928" w:type="dxa"/>
        </w:tcPr>
        <w:p w:rsidR="00EC5476" w:rsidRDefault="00EC5476">
          <w:pPr>
            <w:pStyle w:val="Header"/>
            <w:jc w:val="right"/>
            <w:rPr>
              <w:rFonts w:ascii="Arial" w:hAnsi="Arial"/>
              <w:snapToGrid w:val="0"/>
            </w:rPr>
          </w:pPr>
          <w:r>
            <w:rPr>
              <w:rFonts w:ascii="Arial" w:hAnsi="Arial"/>
              <w:snapToGrid w:val="0"/>
            </w:rPr>
            <w:t>CYW134</w:t>
          </w:r>
        </w:p>
      </w:tc>
    </w:tr>
  </w:tbl>
  <w:p w:rsidR="00EC5476" w:rsidRDefault="00EC54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2001A7"/>
    <w:rsid w:val="002328C3"/>
    <w:rsid w:val="00267910"/>
    <w:rsid w:val="00282171"/>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3902"/>
    <w:rsid w:val="00497B5F"/>
    <w:rsid w:val="004E298B"/>
    <w:rsid w:val="00511172"/>
    <w:rsid w:val="00525D9E"/>
    <w:rsid w:val="00527A34"/>
    <w:rsid w:val="00532940"/>
    <w:rsid w:val="00533537"/>
    <w:rsid w:val="0056705E"/>
    <w:rsid w:val="00596C8A"/>
    <w:rsid w:val="005A28BC"/>
    <w:rsid w:val="005C10A6"/>
    <w:rsid w:val="00613807"/>
    <w:rsid w:val="00626C24"/>
    <w:rsid w:val="00672E6E"/>
    <w:rsid w:val="006A1A7F"/>
    <w:rsid w:val="00716944"/>
    <w:rsid w:val="00720075"/>
    <w:rsid w:val="00721404"/>
    <w:rsid w:val="00721FF2"/>
    <w:rsid w:val="00723208"/>
    <w:rsid w:val="00754E67"/>
    <w:rsid w:val="00796480"/>
    <w:rsid w:val="007A0698"/>
    <w:rsid w:val="007D249C"/>
    <w:rsid w:val="007E6621"/>
    <w:rsid w:val="007F132C"/>
    <w:rsid w:val="007F1444"/>
    <w:rsid w:val="007F73A4"/>
    <w:rsid w:val="00807801"/>
    <w:rsid w:val="0085330B"/>
    <w:rsid w:val="00867048"/>
    <w:rsid w:val="008873E0"/>
    <w:rsid w:val="0093178C"/>
    <w:rsid w:val="00950CAB"/>
    <w:rsid w:val="009629BA"/>
    <w:rsid w:val="009B229A"/>
    <w:rsid w:val="009B5B24"/>
    <w:rsid w:val="009C6D99"/>
    <w:rsid w:val="00A01D87"/>
    <w:rsid w:val="00A023DB"/>
    <w:rsid w:val="00A12742"/>
    <w:rsid w:val="00A211C2"/>
    <w:rsid w:val="00A55EF9"/>
    <w:rsid w:val="00A85995"/>
    <w:rsid w:val="00A9176F"/>
    <w:rsid w:val="00A97B10"/>
    <w:rsid w:val="00AC5756"/>
    <w:rsid w:val="00AE6579"/>
    <w:rsid w:val="00AF0834"/>
    <w:rsid w:val="00B208FD"/>
    <w:rsid w:val="00B50404"/>
    <w:rsid w:val="00B558F9"/>
    <w:rsid w:val="00B778BA"/>
    <w:rsid w:val="00B835FC"/>
    <w:rsid w:val="00BA119A"/>
    <w:rsid w:val="00BA318C"/>
    <w:rsid w:val="00BC7832"/>
    <w:rsid w:val="00BE6343"/>
    <w:rsid w:val="00C01DF8"/>
    <w:rsid w:val="00C0550E"/>
    <w:rsid w:val="00C53F7E"/>
    <w:rsid w:val="00C87B5D"/>
    <w:rsid w:val="00C97440"/>
    <w:rsid w:val="00C97897"/>
    <w:rsid w:val="00CB061E"/>
    <w:rsid w:val="00CB4EB0"/>
    <w:rsid w:val="00CB77B4"/>
    <w:rsid w:val="00CD7506"/>
    <w:rsid w:val="00CE4A2F"/>
    <w:rsid w:val="00D1300B"/>
    <w:rsid w:val="00D444B5"/>
    <w:rsid w:val="00D81C80"/>
    <w:rsid w:val="00DC1839"/>
    <w:rsid w:val="00E25868"/>
    <w:rsid w:val="00E418A0"/>
    <w:rsid w:val="00E8152E"/>
    <w:rsid w:val="00E86FF6"/>
    <w:rsid w:val="00EA2E83"/>
    <w:rsid w:val="00EC5476"/>
    <w:rsid w:val="00EE6E49"/>
    <w:rsid w:val="00EF4EC9"/>
    <w:rsid w:val="00EF5B81"/>
    <w:rsid w:val="00F0236B"/>
    <w:rsid w:val="00F305DD"/>
    <w:rsid w:val="00F430A9"/>
    <w:rsid w:val="00F54E85"/>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CFDB7-37ED-4712-BDED-96DD6D9AC8B3}"/>
</file>

<file path=customXml/itemProps2.xml><?xml version="1.0" encoding="utf-8"?>
<ds:datastoreItem xmlns:ds="http://schemas.openxmlformats.org/officeDocument/2006/customXml" ds:itemID="{7C809F20-817C-4936-9C58-B42D183853F8}"/>
</file>

<file path=customXml/itemProps3.xml><?xml version="1.0" encoding="utf-8"?>
<ds:datastoreItem xmlns:ds="http://schemas.openxmlformats.org/officeDocument/2006/customXml" ds:itemID="{1AF48D6F-BA86-4582-BAF1-A8326E3B4F69}"/>
</file>

<file path=docProps/app.xml><?xml version="1.0" encoding="utf-8"?>
<Properties xmlns="http://schemas.openxmlformats.org/officeDocument/2006/extended-properties" xmlns:vt="http://schemas.openxmlformats.org/officeDocument/2006/docPropsVTypes">
  <Template>10F - Course Outline Form Community Services.dotx</Template>
  <TotalTime>29</TotalTime>
  <Pages>5</Pages>
  <Words>772</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Gina Guidocci</cp:lastModifiedBy>
  <cp:revision>9</cp:revision>
  <cp:lastPrinted>2013-02-06T22:23:00Z</cp:lastPrinted>
  <dcterms:created xsi:type="dcterms:W3CDTF">2011-12-16T17:34:00Z</dcterms:created>
  <dcterms:modified xsi:type="dcterms:W3CDTF">2013-02-06T22:26:00Z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2387000</vt:r8>
  </property>
</Properties>
</file>